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rFonts w:ascii="Century Gothic" w:cs="Century Gothic" w:eastAsia="Century Gothic" w:hAnsi="Century Gothic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u w:val="single"/>
                <w:rtl w:val="0"/>
              </w:rPr>
              <w:t xml:space="preserve">Évaluation et adaptation du protocole</w:t>
            </w:r>
          </w:p>
          <w:p w:rsidR="00000000" w:rsidDel="00000000" w:rsidP="00000000" w:rsidRDefault="00000000" w:rsidRPr="00000000" w14:paraId="00000003">
            <w:pPr>
              <w:jc w:val="left"/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color w:val="1f497d"/>
                <w:sz w:val="22"/>
                <w:szCs w:val="22"/>
                <w:rtl w:val="0"/>
              </w:rPr>
              <w:t xml:space="preserve">En vertu des articles 1.7.8.1 et suivants du décret du 3 mai 2019 </w:t>
            </w:r>
            <w:r w:rsidDel="00000000" w:rsidR="00000000" w:rsidRPr="00000000">
              <w:rPr>
                <w:color w:val="1f497d"/>
                <w:sz w:val="21"/>
                <w:szCs w:val="21"/>
                <w:rtl w:val="0"/>
              </w:rPr>
              <w:t xml:space="preserve">portant les livres 1er et 2 du Code de l'enseignement fondamental et de l'enseignement secondaire, et mettant en place le tronc commun- AMÉNAGEMENTS RAISONNABLES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left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Protocole initial établi le …/…/….</w:t>
      </w:r>
    </w:p>
    <w:p w:rsidR="00000000" w:rsidDel="00000000" w:rsidP="00000000" w:rsidRDefault="00000000" w:rsidRPr="00000000" w14:paraId="00000007">
      <w:pPr>
        <w:jc w:val="both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Date de la réunion d’évaluation du protocole : </w:t>
      </w:r>
    </w:p>
    <w:p w:rsidR="00000000" w:rsidDel="00000000" w:rsidP="00000000" w:rsidRDefault="00000000" w:rsidRPr="00000000" w14:paraId="00000009">
      <w:pPr>
        <w:shd w:fill="ffffff" w:val="clear"/>
        <w:ind w:left="0" w:firstLine="0"/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75.0" w:type="dxa"/>
        <w:jc w:val="left"/>
        <w:tblInd w:w="-108.0" w:type="dxa"/>
        <w:tblBorders>
          <w:top w:color="ffe599" w:space="0" w:sz="4" w:val="single"/>
          <w:left w:color="ffe599" w:space="0" w:sz="4" w:val="single"/>
          <w:bottom w:color="ffe599" w:space="0" w:sz="4" w:val="single"/>
          <w:right w:color="ffe599" w:space="0" w:sz="4" w:val="single"/>
          <w:insideH w:color="ffe599" w:space="0" w:sz="4" w:val="single"/>
          <w:insideV w:color="ffe599" w:space="0" w:sz="4" w:val="single"/>
        </w:tblBorders>
        <w:tblLayout w:type="fixed"/>
        <w:tblLook w:val="0400"/>
      </w:tblPr>
      <w:tblGrid>
        <w:gridCol w:w="2580"/>
        <w:gridCol w:w="6595"/>
        <w:tblGridChange w:id="0">
          <w:tblGrid>
            <w:gridCol w:w="2580"/>
            <w:gridCol w:w="659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ffe599" w:space="0" w:sz="5" w:val="single"/>
              <w:left w:color="ffe599" w:space="0" w:sz="5" w:val="single"/>
              <w:bottom w:color="ffe599" w:space="0" w:sz="5" w:val="single"/>
              <w:right w:color="ffe599" w:space="0" w:sz="5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720" w:hanging="36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Identification de l’élève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ffe599" w:space="0" w:sz="5" w:val="single"/>
              <w:bottom w:color="ffe599" w:space="0" w:sz="5" w:val="single"/>
              <w:right w:color="ffe599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e599" w:space="0" w:sz="5" w:val="single"/>
              <w:right w:color="ffe599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ffe599" w:space="0" w:sz="5" w:val="single"/>
              <w:bottom w:color="ffe599" w:space="0" w:sz="5" w:val="single"/>
              <w:right w:color="ffe599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Prénom: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e599" w:space="0" w:sz="5" w:val="single"/>
              <w:right w:color="ffe599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ffe599" w:space="0" w:sz="5" w:val="single"/>
              <w:bottom w:color="ffe599" w:space="0" w:sz="5" w:val="single"/>
              <w:right w:color="ffe599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Date de naissance: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e599" w:space="0" w:sz="5" w:val="single"/>
              <w:right w:color="ffe599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ffe599" w:space="0" w:sz="5" w:val="single"/>
              <w:bottom w:color="ffe599" w:space="0" w:sz="5" w:val="single"/>
              <w:right w:color="ffe599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Actuellement en (classe):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e599" w:space="0" w:sz="5" w:val="single"/>
              <w:right w:color="ffe599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120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-108.0" w:type="dxa"/>
        <w:tbl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color="4bacc6" w:space="0" w:sz="4" w:val="single"/>
          <w:insideV w:color="4bacc6" w:space="0" w:sz="4" w:val="single"/>
        </w:tblBorders>
        <w:tblLayout w:type="fixed"/>
        <w:tblLook w:val="0400"/>
      </w:tblPr>
      <w:tblGrid>
        <w:gridCol w:w="1797"/>
        <w:gridCol w:w="7265"/>
        <w:tblGridChange w:id="0">
          <w:tblGrid>
            <w:gridCol w:w="1797"/>
            <w:gridCol w:w="7265"/>
          </w:tblGrid>
        </w:tblGridChange>
      </w:tblGrid>
      <w:tr>
        <w:trPr>
          <w:cantSplit w:val="0"/>
          <w:trHeight w:val="301.2283464566929" w:hRule="atLeast"/>
          <w:tblHeader w:val="0"/>
        </w:trPr>
        <w:tc>
          <w:tcPr>
            <w:gridSpan w:val="2"/>
            <w:tcBorders>
              <w:top w:color="4bacc6" w:space="0" w:sz="5" w:val="single"/>
              <w:left w:color="4bacc6" w:space="0" w:sz="5" w:val="single"/>
              <w:bottom w:color="4bacc6" w:space="0" w:sz="5" w:val="single"/>
              <w:right w:color="4bacc6" w:space="0" w:sz="5" w:val="single"/>
            </w:tcBorders>
            <w:shd w:fill="4bac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Ecole 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4bacc6" w:space="0" w:sz="5" w:val="single"/>
              <w:bottom w:color="4bacc6" w:space="0" w:sz="5" w:val="single"/>
              <w:right w:color="4bacc6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Nom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5" w:val="single"/>
              <w:right w:color="4bacc6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4bacc6" w:space="0" w:sz="5" w:val="single"/>
              <w:bottom w:color="4bacc6" w:space="0" w:sz="5" w:val="single"/>
              <w:right w:color="4bacc6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Adresse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5" w:val="single"/>
              <w:right w:color="4bacc6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4bacc6" w:space="0" w:sz="5" w:val="single"/>
              <w:bottom w:color="4bacc6" w:space="0" w:sz="5" w:val="single"/>
              <w:right w:color="4bacc6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Direction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5" w:val="single"/>
              <w:right w:color="4bacc6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4bacc6" w:space="0" w:sz="5" w:val="single"/>
              <w:bottom w:color="4bacc6" w:space="0" w:sz="5" w:val="single"/>
              <w:right w:color="4bacc6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Adresse email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5" w:val="single"/>
              <w:right w:color="4bacc6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4bacc6" w:space="0" w:sz="5" w:val="single"/>
              <w:bottom w:color="4bacc6" w:space="0" w:sz="5" w:val="single"/>
              <w:right w:color="4bacc6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Téléphone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5" w:val="single"/>
              <w:right w:color="4bacc6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4bacc6" w:space="0" w:sz="5" w:val="single"/>
              <w:bottom w:color="4bacc6" w:space="0" w:sz="5" w:val="single"/>
              <w:right w:color="4bacc6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Numéro de fase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5" w:val="single"/>
              <w:right w:color="4bacc6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4bacc6" w:space="0" w:sz="5" w:val="single"/>
              <w:bottom w:color="4bacc6" w:space="0" w:sz="5" w:val="single"/>
              <w:right w:color="4bacc6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Titulaire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5" w:val="single"/>
              <w:right w:color="4bacc6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120" w:lineRule="auto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-120.0" w:type="dxa"/>
        <w:tblBorders>
          <w:top w:color="c9daf8" w:space="0" w:sz="8" w:val="single"/>
          <w:left w:color="c9daf8" w:space="0" w:sz="8" w:val="single"/>
          <w:bottom w:color="c9daf8" w:space="0" w:sz="8" w:val="single"/>
          <w:right w:color="c9daf8" w:space="0" w:sz="8" w:val="single"/>
          <w:insideH w:color="c9daf8" w:space="0" w:sz="8" w:val="single"/>
          <w:insideV w:color="c9daf8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20" w:lineRule="auto"/>
              <w:jc w:val="center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3.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Améliorations observées en classe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4.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Nouvelles difficultés rencontrées à l’école: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12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0" w:tblpY="0"/>
        <w:tblW w:w="9030.0" w:type="dxa"/>
        <w:jc w:val="lef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1980"/>
        <w:gridCol w:w="7050"/>
        <w:tblGridChange w:id="0">
          <w:tblGrid>
            <w:gridCol w:w="1980"/>
            <w:gridCol w:w="7050"/>
          </w:tblGrid>
        </w:tblGridChange>
      </w:tblGrid>
      <w:tr>
        <w:trPr>
          <w:cantSplit w:val="0"/>
          <w:trHeight w:val="528" w:hRule="atLeast"/>
          <w:tblHeader w:val="1"/>
        </w:trPr>
        <w:tc>
          <w:tcPr>
            <w:gridSpan w:val="2"/>
            <w:shd w:fill="d9ead3" w:val="clear"/>
            <w:tcMar>
              <w:top w:w="30.61417322834646" w:type="dxa"/>
              <w:left w:w="30.61417322834646" w:type="dxa"/>
              <w:bottom w:w="30.61417322834646" w:type="dxa"/>
              <w:right w:w="30.61417322834646" w:type="dxa"/>
            </w:tcMar>
          </w:tcPr>
          <w:p w:rsidR="00000000" w:rsidDel="00000000" w:rsidP="00000000" w:rsidRDefault="00000000" w:rsidRPr="00000000" w14:paraId="0000002F">
            <w:pPr>
              <w:spacing w:after="120" w:lineRule="auto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5.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Nouvelles informations de professionnel(s) 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Mar>
              <w:top w:w="30.61417322834646" w:type="dxa"/>
              <w:left w:w="30.61417322834646" w:type="dxa"/>
              <w:bottom w:w="30.61417322834646" w:type="dxa"/>
              <w:right w:w="30.61417322834646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Bilan réalisé le:</w:t>
            </w:r>
          </w:p>
        </w:tc>
        <w:tc>
          <w:tcPr>
            <w:tcMar>
              <w:top w:w="30.61417322834646" w:type="dxa"/>
              <w:left w:w="30.61417322834646" w:type="dxa"/>
              <w:bottom w:w="30.61417322834646" w:type="dxa"/>
              <w:right w:w="30.61417322834646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Mar>
              <w:top w:w="30.61417322834646" w:type="dxa"/>
              <w:left w:w="30.61417322834646" w:type="dxa"/>
              <w:bottom w:w="30.61417322834646" w:type="dxa"/>
              <w:right w:w="30.61417322834646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Nom et coordonnées:</w:t>
            </w:r>
          </w:p>
        </w:tc>
        <w:tc>
          <w:tcPr>
            <w:tcMar>
              <w:top w:w="30.61417322834646" w:type="dxa"/>
              <w:left w:w="30.61417322834646" w:type="dxa"/>
              <w:bottom w:w="30.61417322834646" w:type="dxa"/>
              <w:right w:w="30.61417322834646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30.61417322834646" w:type="dxa"/>
              <w:left w:w="30.61417322834646" w:type="dxa"/>
              <w:bottom w:w="30.61417322834646" w:type="dxa"/>
              <w:right w:w="30.61417322834646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Bref descriptif </w:t>
            </w:r>
          </w:p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(conclusion du bilan)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61417322834646" w:type="dxa"/>
              <w:left w:w="30.61417322834646" w:type="dxa"/>
              <w:bottom w:w="30.61417322834646" w:type="dxa"/>
              <w:right w:w="30.61417322834646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12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0.0" w:type="dxa"/>
        <w:jc w:val="left"/>
        <w:tblBorders>
          <w:top w:color="c9daf8" w:space="0" w:sz="8" w:val="single"/>
          <w:left w:color="c9daf8" w:space="0" w:sz="8" w:val="single"/>
          <w:bottom w:color="c9daf8" w:space="0" w:sz="8" w:val="single"/>
          <w:right w:color="c9daf8" w:space="0" w:sz="8" w:val="single"/>
          <w:insideH w:color="c9daf8" w:space="0" w:sz="8" w:val="single"/>
          <w:insideV w:color="c9daf8" w:space="0" w:sz="8" w:val="single"/>
        </w:tblBorders>
        <w:tblLayout w:type="fixed"/>
        <w:tblLook w:val="0600"/>
      </w:tblPr>
      <w:tblGrid>
        <w:gridCol w:w="2265"/>
        <w:gridCol w:w="2265"/>
        <w:gridCol w:w="105"/>
        <w:gridCol w:w="4425"/>
        <w:tblGridChange w:id="0">
          <w:tblGrid>
            <w:gridCol w:w="2265"/>
            <w:gridCol w:w="2265"/>
            <w:gridCol w:w="105"/>
            <w:gridCol w:w="44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bottom w:color="a4c2f4" w:space="0" w:sz="8" w:val="single"/>
            </w:tcBorders>
            <w:shd w:fill="c9daf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2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6. Types d’aménagements raisonnables et modalités 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a4c2f4" w:space="0" w:sz="8" w:val="single"/>
            </w:tcBorders>
            <w:shd w:fill="c9daf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20" w:lineRule="auto"/>
              <w:jc w:val="center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Aménagements initialement proposés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4c2f4" w:space="0" w:sz="8" w:val="single"/>
              <w:left w:color="a4c2f4" w:space="0" w:sz="8" w:val="single"/>
            </w:tcBorders>
            <w:shd w:fill="c9daf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20" w:lineRule="auto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Adaptation de ces aménagements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2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AR Matériels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12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2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AR organisationnels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2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12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AR pédagogiques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12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c9daf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2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Nouveaux aménagements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12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AR Matériels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2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2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AR organisationnels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2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2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AR pédagogiques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2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56.0" w:type="dxa"/>
        <w:jc w:val="left"/>
        <w:tblBorders>
          <w:top w:color="c9daf8" w:space="0" w:sz="4" w:val="single"/>
          <w:left w:color="c9daf8" w:space="0" w:sz="4" w:val="single"/>
          <w:bottom w:color="c9daf8" w:space="0" w:sz="4" w:val="single"/>
          <w:right w:color="c9daf8" w:space="0" w:sz="4" w:val="single"/>
          <w:insideH w:color="c9daf8" w:space="0" w:sz="4" w:val="single"/>
          <w:insideV w:color="c9daf8" w:space="0" w:sz="4" w:val="single"/>
        </w:tblBorders>
        <w:tblLayout w:type="fixed"/>
        <w:tblLook w:val="0400"/>
      </w:tblPr>
      <w:tblGrid>
        <w:gridCol w:w="4528"/>
        <w:gridCol w:w="4528"/>
        <w:tblGridChange w:id="0">
          <w:tblGrid>
            <w:gridCol w:w="4528"/>
            <w:gridCol w:w="452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bottom w:color="a4c2f4" w:space="0" w:sz="4" w:val="single"/>
            </w:tcBorders>
            <w:shd w:fill="c9daf8" w:val="clear"/>
          </w:tcPr>
          <w:p w:rsidR="00000000" w:rsidDel="00000000" w:rsidP="00000000" w:rsidRDefault="00000000" w:rsidRPr="00000000" w14:paraId="0000005E">
            <w:pPr>
              <w:spacing w:after="120" w:lineRule="auto"/>
              <w:ind w:left="720" w:firstLine="0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Limites des aménagements raisonnables 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4c2f4" w:space="0" w:sz="4" w:val="single"/>
              <w:right w:color="4a86e8" w:space="0" w:sz="4" w:val="single"/>
            </w:tcBorders>
            <w:shd w:fill="c9daf8" w:val="clear"/>
          </w:tcPr>
          <w:p w:rsidR="00000000" w:rsidDel="00000000" w:rsidP="00000000" w:rsidRDefault="00000000" w:rsidRPr="00000000" w14:paraId="00000060">
            <w:pPr>
              <w:spacing w:after="120" w:lineRule="auto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Limites initialement posées</w:t>
            </w:r>
          </w:p>
        </w:tc>
        <w:tc>
          <w:tcPr>
            <w:tcBorders>
              <w:top w:color="a4c2f4" w:space="0" w:sz="4" w:val="single"/>
              <w:left w:color="4a86e8" w:space="0" w:sz="4" w:val="single"/>
            </w:tcBorders>
            <w:shd w:fill="c9daf8" w:val="clear"/>
          </w:tcPr>
          <w:p w:rsidR="00000000" w:rsidDel="00000000" w:rsidP="00000000" w:rsidRDefault="00000000" w:rsidRPr="00000000" w14:paraId="00000061">
            <w:pPr>
              <w:spacing w:after="120" w:lineRule="auto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Adaptation de ces limites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12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12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12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30.0" w:type="dxa"/>
        <w:jc w:val="lef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2640"/>
        <w:gridCol w:w="6390"/>
        <w:tblGridChange w:id="0">
          <w:tblGrid>
            <w:gridCol w:w="2640"/>
            <w:gridCol w:w="63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8.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LE CAS ÉCHÉANT,adaptation des modalités d’intervention du pôle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Type d’accompagnement: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Fréquence: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Echéance: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Une copie de l’évaluation du protocole doit également être transmise à l’adresse suivante: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b w:val="1"/>
            <w:sz w:val="20"/>
            <w:szCs w:val="20"/>
            <w:u w:val="single"/>
            <w:rtl w:val="0"/>
          </w:rPr>
          <w:t xml:space="preserve">delphine.salmon@ecoledumardasson.be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6.0" w:type="dxa"/>
        <w:jc w:val="left"/>
        <w:tblBorders>
          <w:top w:color="ffe599" w:space="0" w:sz="8" w:val="single"/>
          <w:left w:color="ffe599" w:space="0" w:sz="8" w:val="single"/>
          <w:bottom w:color="ffe599" w:space="0" w:sz="8" w:val="single"/>
          <w:right w:color="ffe599" w:space="0" w:sz="8" w:val="single"/>
          <w:insideH w:color="ffe599" w:space="0" w:sz="8" w:val="single"/>
          <w:insideV w:color="ffe599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2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9.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Pour accord: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12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Le protocole sera réévalué le …………………….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Le protocole est à réévaluer 1X/an en maternelle et 2x/an en primaire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Une copie de cette évaluation est à transmettre au CPMS par l’école ordinaire.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L’existence du protocole et de son évaluation sera également mentionnée dans le volet “parcours scolaire” du DAccE de l’enfant. </w:t>
      </w:r>
    </w:p>
    <w:p w:rsidR="00000000" w:rsidDel="00000000" w:rsidP="00000000" w:rsidRDefault="00000000" w:rsidRPr="00000000" w14:paraId="00000075">
      <w:pPr>
        <w:spacing w:after="12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255"/>
        <w:gridCol w:w="2910"/>
        <w:gridCol w:w="255"/>
        <w:gridCol w:w="2895"/>
        <w:tblGridChange w:id="0">
          <w:tblGrid>
            <w:gridCol w:w="2685"/>
            <w:gridCol w:w="255"/>
            <w:gridCol w:w="2910"/>
            <w:gridCol w:w="255"/>
            <w:gridCol w:w="28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fac0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Date et signature de la personne responsable de l’élève:</w:t>
            </w:r>
          </w:p>
        </w:tc>
        <w:tc>
          <w:tcPr>
            <w:tcBorders>
              <w:top w:color="ffffff" w:space="0" w:sz="8" w:val="single"/>
              <w:left w:color="e69138" w:space="0" w:sz="8" w:val="single"/>
              <w:bottom w:color="ffffff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4bac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Date et signature de la direction de l’école:</w:t>
            </w:r>
          </w:p>
        </w:tc>
        <w:tc>
          <w:tcPr>
            <w:tcBorders>
              <w:top w:color="ffffff" w:space="0" w:sz="8" w:val="single"/>
              <w:left w:color="4bacc6" w:space="0" w:sz="8" w:val="single"/>
              <w:bottom w:color="ffffff" w:space="0" w:sz="8" w:val="single"/>
              <w:right w:color="c2d69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2d69b" w:space="0" w:sz="8" w:val="single"/>
              <w:left w:color="c2d69b" w:space="0" w:sz="8" w:val="single"/>
              <w:bottom w:color="c2d69b" w:space="0" w:sz="8" w:val="single"/>
              <w:right w:color="c2d69b" w:space="0" w:sz="8" w:val="single"/>
            </w:tcBorders>
            <w:shd w:fill="c2d69b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entury Gothic" w:cs="Century Gothic" w:eastAsia="Century Gothic" w:hAnsi="Century Gothic"/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155cc"/>
                <w:sz w:val="20"/>
                <w:szCs w:val="20"/>
                <w:rtl w:val="0"/>
              </w:rPr>
              <w:t xml:space="preserve">Le cas échéant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, date et signature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rtl w:val="0"/>
              </w:rPr>
              <w:t xml:space="preserve">partenaires extérieurs: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.4179687500001" w:hRule="atLeast"/>
          <w:tblHeader w:val="0"/>
        </w:trPr>
        <w:tc>
          <w:tcPr>
            <w:vMerge w:val="restart"/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e69138" w:space="0" w:sz="8" w:val="single"/>
              <w:bottom w:color="ffffff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entury Gothic" w:cs="Century Gothic" w:eastAsia="Century Gothic" w:hAnsi="Century Gothic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4bacc6" w:space="0" w:sz="8" w:val="single"/>
              <w:bottom w:color="ffffff" w:space="0" w:sz="8" w:val="single"/>
              <w:right w:color="c2d69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entury Gothic" w:cs="Century Gothic" w:eastAsia="Century Gothic" w:hAnsi="Century Gothic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2d69b" w:space="0" w:sz="8" w:val="single"/>
              <w:left w:color="c2d69b" w:space="0" w:sz="8" w:val="single"/>
              <w:bottom w:color="c2d69b" w:space="0" w:sz="8" w:val="single"/>
              <w:right w:color="c2d69b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e69138" w:space="0" w:sz="8" w:val="single"/>
              <w:bottom w:color="ffffff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4bacc6" w:space="0" w:sz="8" w:val="single"/>
              <w:bottom w:color="ffffff" w:space="0" w:sz="8" w:val="single"/>
              <w:right w:color="c2d69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2d69b" w:space="0" w:sz="8" w:val="single"/>
              <w:left w:color="c2d69b" w:space="0" w:sz="8" w:val="single"/>
              <w:bottom w:color="c2d69b" w:space="0" w:sz="8" w:val="single"/>
              <w:right w:color="c2d69b" w:space="0" w:sz="8" w:val="single"/>
            </w:tcBorders>
            <w:shd w:fill="c2d69b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rtl w:val="0"/>
              </w:rPr>
              <w:t xml:space="preserve">CPMS:</w:t>
            </w:r>
          </w:p>
        </w:tc>
      </w:tr>
      <w:tr>
        <w:trPr>
          <w:cantSplit w:val="0"/>
          <w:trHeight w:val="663.4179687500001" w:hRule="atLeast"/>
          <w:tblHeader w:val="0"/>
        </w:trPr>
        <w:tc>
          <w:tcPr>
            <w:vMerge w:val="continue"/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e69138" w:space="0" w:sz="8" w:val="single"/>
              <w:bottom w:color="ffffff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4bacc6" w:space="0" w:sz="8" w:val="single"/>
              <w:bottom w:color="ffffff" w:space="0" w:sz="8" w:val="single"/>
              <w:right w:color="c2d69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2d69b" w:space="0" w:sz="8" w:val="single"/>
              <w:left w:color="c2d69b" w:space="0" w:sz="8" w:val="single"/>
              <w:bottom w:color="c2d69b" w:space="0" w:sz="8" w:val="single"/>
              <w:right w:color="c2d69b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.41796875" w:hRule="atLeast"/>
          <w:tblHeader w:val="0"/>
        </w:trPr>
        <w:tc>
          <w:tcPr>
            <w:vMerge w:val="continue"/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e69138" w:space="0" w:sz="8" w:val="single"/>
              <w:bottom w:color="ffffff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4bacc6" w:space="0" w:sz="8" w:val="single"/>
              <w:bottom w:color="ffffff" w:space="0" w:sz="8" w:val="single"/>
              <w:right w:color="c2d69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2d69b" w:space="0" w:sz="8" w:val="single"/>
              <w:left w:color="c2d69b" w:space="0" w:sz="8" w:val="single"/>
              <w:bottom w:color="c2d69b" w:space="0" w:sz="8" w:val="single"/>
              <w:right w:color="c2d69b" w:space="0" w:sz="8" w:val="single"/>
            </w:tcBorders>
            <w:shd w:fill="c2d69b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rtl w:val="0"/>
              </w:rPr>
              <w:t xml:space="preserve">Pôle :</w:t>
            </w:r>
          </w:p>
        </w:tc>
      </w:tr>
      <w:tr>
        <w:trPr>
          <w:cantSplit w:val="0"/>
          <w:trHeight w:val="663.4179687500001" w:hRule="atLeast"/>
          <w:tblHeader w:val="0"/>
        </w:trPr>
        <w:tc>
          <w:tcPr>
            <w:vMerge w:val="continue"/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e69138" w:space="0" w:sz="8" w:val="single"/>
              <w:bottom w:color="ffffff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4bacc6" w:space="0" w:sz="8" w:val="single"/>
              <w:bottom w:color="ffffff" w:space="0" w:sz="8" w:val="single"/>
              <w:right w:color="c2d69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2d69b" w:space="0" w:sz="8" w:val="single"/>
              <w:left w:color="c2d69b" w:space="0" w:sz="8" w:val="single"/>
              <w:bottom w:color="c2d69b" w:space="0" w:sz="8" w:val="single"/>
              <w:right w:color="c2d69b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120" w:lineRule="auto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12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00" w:orient="portrait"/>
      <w:pgMar w:bottom="1417" w:top="992.125984251968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4472c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472c4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4472c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472c4"/>
        <w:sz w:val="24"/>
        <w:szCs w:val="24"/>
        <w:u w:val="none"/>
        <w:shd w:fill="auto" w:val="clear"/>
        <w:vertAlign w:val="baseline"/>
        <w:rtl w:val="0"/>
      </w:rPr>
      <w:t xml:space="preserve">Évaluation et adaptation du protocole – NOM Prénom de l’élève - Date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8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9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10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elphine.salmon@ecoledumardasson.be" TargetMode="Externa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I1wX8cgCQd32GyUk0Zfpl9bGpg==">CgMxLjA4AHIhMXc3MEdRRE9XaDJsdE5pWC1oaFdURVU0YnlqOGRZOHZx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